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25BB8B" w14:textId="77777777" w:rsidR="00F46AD1" w:rsidRPr="00E07F99" w:rsidRDefault="006C367F" w:rsidP="006C367F">
      <w:pPr>
        <w:jc w:val="center"/>
        <w:rPr>
          <w:b/>
          <w:sz w:val="28"/>
        </w:rPr>
      </w:pPr>
      <w:r>
        <w:rPr>
          <w:b/>
          <w:sz w:val="28"/>
        </w:rPr>
        <w:t>R</w:t>
      </w:r>
      <w:r w:rsidRPr="00E07F99">
        <w:rPr>
          <w:b/>
          <w:sz w:val="28"/>
        </w:rPr>
        <w:t xml:space="preserve">esistance </w:t>
      </w:r>
      <w:r>
        <w:rPr>
          <w:b/>
          <w:sz w:val="28"/>
        </w:rPr>
        <w:t>m</w:t>
      </w:r>
      <w:r w:rsidRPr="00E07F99">
        <w:rPr>
          <w:b/>
          <w:sz w:val="28"/>
        </w:rPr>
        <w:t xml:space="preserve">anagement </w:t>
      </w:r>
      <w:r>
        <w:rPr>
          <w:b/>
          <w:sz w:val="28"/>
        </w:rPr>
        <w:t>g</w:t>
      </w:r>
      <w:r w:rsidRPr="00E07F99">
        <w:rPr>
          <w:b/>
          <w:sz w:val="28"/>
        </w:rPr>
        <w:t>uideline</w:t>
      </w:r>
      <w:r>
        <w:rPr>
          <w:b/>
          <w:sz w:val="28"/>
        </w:rPr>
        <w:t xml:space="preserve"> for controlling R81</w:t>
      </w:r>
      <w:r w:rsidR="00EA67D9">
        <w:rPr>
          <w:b/>
          <w:sz w:val="28"/>
        </w:rPr>
        <w:t>T</w:t>
      </w:r>
      <w:r>
        <w:rPr>
          <w:b/>
          <w:sz w:val="28"/>
        </w:rPr>
        <w:t xml:space="preserve"> target site resistant               </w:t>
      </w:r>
      <w:r w:rsidR="00E07F99" w:rsidRPr="00E07F99">
        <w:rPr>
          <w:b/>
          <w:i/>
          <w:sz w:val="28"/>
        </w:rPr>
        <w:t>Myzus persicae</w:t>
      </w:r>
      <w:r w:rsidR="00E07F99" w:rsidRPr="00E07F99">
        <w:rPr>
          <w:b/>
          <w:sz w:val="28"/>
        </w:rPr>
        <w:t xml:space="preserve"> </w:t>
      </w:r>
      <w:r>
        <w:rPr>
          <w:b/>
          <w:sz w:val="28"/>
        </w:rPr>
        <w:t>populations</w:t>
      </w:r>
      <w:r w:rsidR="007D66F2">
        <w:rPr>
          <w:b/>
          <w:sz w:val="28"/>
        </w:rPr>
        <w:t>, IRAC SPWG</w:t>
      </w:r>
      <w:bookmarkStart w:id="0" w:name="_GoBack"/>
      <w:bookmarkEnd w:id="0"/>
      <w:r w:rsidR="007D66F2">
        <w:rPr>
          <w:b/>
          <w:sz w:val="28"/>
        </w:rPr>
        <w:t>,</w:t>
      </w:r>
      <w:r w:rsidR="00E07F99" w:rsidRPr="00E07F99">
        <w:rPr>
          <w:b/>
          <w:sz w:val="28"/>
        </w:rPr>
        <w:t xml:space="preserve"> 201</w:t>
      </w:r>
      <w:r>
        <w:rPr>
          <w:b/>
          <w:sz w:val="28"/>
        </w:rPr>
        <w:t>9</w:t>
      </w:r>
    </w:p>
    <w:p w14:paraId="5F989F95" w14:textId="77777777" w:rsidR="00680879" w:rsidRPr="001E0A6C" w:rsidRDefault="007D66F2" w:rsidP="006B4F1B">
      <w:pPr>
        <w:jc w:val="both"/>
      </w:pPr>
      <w:r>
        <w:t>This is an update of the resistance alert</w:t>
      </w:r>
      <w:r w:rsidR="00BE2F71">
        <w:t xml:space="preserve"> and management recommendations</w:t>
      </w:r>
      <w:r>
        <w:t xml:space="preserve"> issued </w:t>
      </w:r>
      <w:r w:rsidR="00BE2F71">
        <w:t xml:space="preserve">in January 2013 </w:t>
      </w:r>
      <w:r>
        <w:t>by the</w:t>
      </w:r>
      <w:r w:rsidR="00141FA4">
        <w:t xml:space="preserve"> IRAC</w:t>
      </w:r>
      <w:r>
        <w:t xml:space="preserve"> Sucking Pest Working Group</w:t>
      </w:r>
      <w:r w:rsidR="00BE2F71">
        <w:t xml:space="preserve">. </w:t>
      </w:r>
      <w:r w:rsidR="00F43C70">
        <w:t>The resistance is based on a target-site mutation which strongly affects neonicotinoid efficacy</w:t>
      </w:r>
      <w:r w:rsidR="000624C6" w:rsidRPr="000624C6">
        <w:rPr>
          <w:vertAlign w:val="superscript"/>
        </w:rPr>
        <w:t>1</w:t>
      </w:r>
      <w:r w:rsidR="00B61650">
        <w:rPr>
          <w:vertAlign w:val="superscript"/>
        </w:rPr>
        <w:t>,2</w:t>
      </w:r>
      <w:r w:rsidR="00F43C70">
        <w:t xml:space="preserve">. </w:t>
      </w:r>
      <w:r w:rsidR="00D5052F">
        <w:t>The results of survey</w:t>
      </w:r>
      <w:r w:rsidR="008D5027">
        <w:t>s from 2010 to 201</w:t>
      </w:r>
      <w:r w:rsidR="006C367F">
        <w:t>3</w:t>
      </w:r>
      <w:r w:rsidR="000055E3">
        <w:t xml:space="preserve"> confirm</w:t>
      </w:r>
      <w:r w:rsidR="008D5027">
        <w:t>ed</w:t>
      </w:r>
      <w:r w:rsidR="000055E3">
        <w:t xml:space="preserve"> the </w:t>
      </w:r>
      <w:r w:rsidR="00BE2F71">
        <w:t xml:space="preserve">spread and </w:t>
      </w:r>
      <w:r w:rsidR="00EC0414">
        <w:t>presence</w:t>
      </w:r>
      <w:r w:rsidR="000055E3">
        <w:t xml:space="preserve"> of </w:t>
      </w:r>
      <w:r w:rsidR="006C367F">
        <w:t>the res</w:t>
      </w:r>
      <w:r w:rsidR="000055E3">
        <w:t xml:space="preserve">istant aphids in </w:t>
      </w:r>
      <w:r w:rsidR="00EC0414">
        <w:t xml:space="preserve">many of </w:t>
      </w:r>
      <w:r w:rsidR="001E0A6C">
        <w:t>the stone fruit orchards of S</w:t>
      </w:r>
      <w:r w:rsidR="000055E3">
        <w:t>outhern France</w:t>
      </w:r>
      <w:r w:rsidR="00680879">
        <w:t>,</w:t>
      </w:r>
      <w:r w:rsidR="000055E3">
        <w:t xml:space="preserve"> Spain </w:t>
      </w:r>
      <w:r w:rsidR="00680879">
        <w:t>and It</w:t>
      </w:r>
      <w:r w:rsidR="000055E3">
        <w:t>aly</w:t>
      </w:r>
      <w:r w:rsidR="00D049C1">
        <w:t xml:space="preserve"> </w:t>
      </w:r>
      <w:r w:rsidR="00B61650">
        <w:rPr>
          <w:vertAlign w:val="superscript"/>
        </w:rPr>
        <w:t>3,4</w:t>
      </w:r>
      <w:r w:rsidR="000055E3">
        <w:t>.</w:t>
      </w:r>
      <w:r w:rsidR="00271ADA">
        <w:t xml:space="preserve"> </w:t>
      </w:r>
      <w:r w:rsidR="00E93F1E" w:rsidRPr="001E0A6C">
        <w:t xml:space="preserve">Recent findings proved the resistance also in </w:t>
      </w:r>
      <w:r w:rsidR="006C367F">
        <w:t xml:space="preserve">Greece, Morocco and Tunisia in stone fruit orchards </w:t>
      </w:r>
      <w:r w:rsidR="00BA35C1">
        <w:t>and i</w:t>
      </w:r>
      <w:r w:rsidR="006C367F">
        <w:t xml:space="preserve">t was found even in </w:t>
      </w:r>
      <w:r w:rsidR="00BA35C1">
        <w:t>Belgium in greenhouse vegetables.</w:t>
      </w:r>
      <w:r w:rsidR="006C367F">
        <w:t xml:space="preserve"> In the last few years the resistant </w:t>
      </w:r>
      <w:r w:rsidR="0086504E">
        <w:t>strains were</w:t>
      </w:r>
      <w:r w:rsidR="006C367F">
        <w:t xml:space="preserve"> found in several </w:t>
      </w:r>
      <w:r w:rsidR="005B6E0D">
        <w:t xml:space="preserve">greenhouse and </w:t>
      </w:r>
      <w:r w:rsidR="006C367F">
        <w:t>open field vegetable plantations across Southern Europe.</w:t>
      </w:r>
    </w:p>
    <w:p w14:paraId="7D2EFA08" w14:textId="77777777" w:rsidR="00BA35C1" w:rsidRPr="006B4F1B" w:rsidRDefault="00A9291A" w:rsidP="006B4F1B">
      <w:pPr>
        <w:jc w:val="both"/>
        <w:rPr>
          <w:b/>
          <w:noProof/>
          <w:lang w:val="en-US"/>
        </w:rPr>
      </w:pPr>
      <w:r w:rsidRPr="006B4F1B">
        <w:rPr>
          <w:b/>
          <w:lang w:val="en-US"/>
        </w:rPr>
        <w:t xml:space="preserve">Map of the region showing areas </w:t>
      </w:r>
      <w:r w:rsidR="006C367F" w:rsidRPr="006B4F1B">
        <w:rPr>
          <w:b/>
          <w:lang w:val="en-US"/>
        </w:rPr>
        <w:t xml:space="preserve">(yellow) </w:t>
      </w:r>
      <w:r w:rsidR="00D2371C" w:rsidRPr="006B4F1B">
        <w:rPr>
          <w:b/>
          <w:lang w:val="en-US"/>
        </w:rPr>
        <w:t>where</w:t>
      </w:r>
      <w:r w:rsidRPr="006B4F1B">
        <w:rPr>
          <w:b/>
          <w:lang w:val="en-US"/>
        </w:rPr>
        <w:t xml:space="preserve"> </w:t>
      </w:r>
      <w:r w:rsidR="006C367F" w:rsidRPr="006B4F1B">
        <w:rPr>
          <w:b/>
          <w:lang w:val="en-US"/>
        </w:rPr>
        <w:t>R81</w:t>
      </w:r>
      <w:r w:rsidR="00EA67D9">
        <w:rPr>
          <w:b/>
          <w:lang w:val="en-US"/>
        </w:rPr>
        <w:t>T</w:t>
      </w:r>
      <w:r w:rsidR="006C367F" w:rsidRPr="006B4F1B">
        <w:rPr>
          <w:b/>
          <w:lang w:val="en-US"/>
        </w:rPr>
        <w:t xml:space="preserve"> </w:t>
      </w:r>
      <w:r w:rsidR="00CE7E42" w:rsidRPr="006B4F1B">
        <w:rPr>
          <w:b/>
          <w:lang w:val="en-US"/>
        </w:rPr>
        <w:t xml:space="preserve">target site resistance </w:t>
      </w:r>
      <w:r w:rsidR="00D2371C" w:rsidRPr="006B4F1B">
        <w:rPr>
          <w:b/>
          <w:lang w:val="en-US"/>
        </w:rPr>
        <w:t>was detected</w:t>
      </w:r>
      <w:r w:rsidR="00CE7E42" w:rsidRPr="006B4F1B">
        <w:rPr>
          <w:b/>
          <w:lang w:val="en-US"/>
        </w:rPr>
        <w:t xml:space="preserve"> in</w:t>
      </w:r>
      <w:r w:rsidR="000C7A4B" w:rsidRPr="006B4F1B">
        <w:rPr>
          <w:b/>
          <w:lang w:val="en-US"/>
        </w:rPr>
        <w:t xml:space="preserve"> </w:t>
      </w:r>
      <w:r w:rsidR="000C7A4B" w:rsidRPr="006B4F1B">
        <w:rPr>
          <w:b/>
          <w:i/>
          <w:lang w:val="en-US"/>
        </w:rPr>
        <w:t>Myzus persicae</w:t>
      </w:r>
      <w:r w:rsidR="000C7A4B" w:rsidRPr="006B4F1B">
        <w:rPr>
          <w:b/>
          <w:lang w:val="en-US"/>
        </w:rPr>
        <w:t xml:space="preserve"> collected from stone f</w:t>
      </w:r>
      <w:r w:rsidR="00D2371C" w:rsidRPr="006B4F1B">
        <w:rPr>
          <w:b/>
          <w:lang w:val="en-US"/>
        </w:rPr>
        <w:t>ruit orchards</w:t>
      </w:r>
      <w:r w:rsidR="00BA35C1" w:rsidRPr="006B4F1B">
        <w:rPr>
          <w:b/>
          <w:lang w:val="en-US"/>
        </w:rPr>
        <w:t xml:space="preserve"> or vegetable crops</w:t>
      </w:r>
      <w:r w:rsidR="00EB044C" w:rsidRPr="006B4F1B">
        <w:rPr>
          <w:b/>
          <w:lang w:val="en-US"/>
        </w:rPr>
        <w:t xml:space="preserve"> </w:t>
      </w:r>
      <w:r w:rsidR="006B4F1B">
        <w:rPr>
          <w:b/>
          <w:lang w:val="en-US"/>
        </w:rPr>
        <w:t>between</w:t>
      </w:r>
      <w:r w:rsidR="00EB044C" w:rsidRPr="006B4F1B">
        <w:rPr>
          <w:b/>
          <w:lang w:val="en-US"/>
        </w:rPr>
        <w:t xml:space="preserve"> </w:t>
      </w:r>
      <w:r w:rsidR="00517584" w:rsidRPr="006B4F1B">
        <w:rPr>
          <w:b/>
          <w:lang w:val="en-US"/>
        </w:rPr>
        <w:t>2010</w:t>
      </w:r>
      <w:r w:rsidR="00DF4E82" w:rsidRPr="006B4F1B">
        <w:rPr>
          <w:b/>
          <w:lang w:val="en-US"/>
        </w:rPr>
        <w:t xml:space="preserve"> </w:t>
      </w:r>
      <w:r w:rsidR="006B4F1B">
        <w:rPr>
          <w:b/>
          <w:lang w:val="en-US"/>
        </w:rPr>
        <w:t>and</w:t>
      </w:r>
      <w:r w:rsidR="00795548" w:rsidRPr="006B4F1B">
        <w:rPr>
          <w:b/>
          <w:lang w:val="en-US"/>
        </w:rPr>
        <w:t xml:space="preserve"> 201</w:t>
      </w:r>
      <w:r w:rsidR="006C367F" w:rsidRPr="006B4F1B">
        <w:rPr>
          <w:b/>
          <w:lang w:val="en-US"/>
        </w:rPr>
        <w:t>8</w:t>
      </w:r>
      <w:r w:rsidR="00380D4A" w:rsidRPr="006B4F1B">
        <w:rPr>
          <w:b/>
          <w:noProof/>
          <w:lang w:val="hu-HU" w:eastAsia="hu-HU"/>
        </w:rPr>
        <w:t xml:space="preserve"> </w:t>
      </w:r>
    </w:p>
    <w:p w14:paraId="0E3AFC1F" w14:textId="77777777" w:rsidR="00BA35C1" w:rsidRDefault="006C367F" w:rsidP="006B4F1B">
      <w:pPr>
        <w:jc w:val="both"/>
        <w:rPr>
          <w:noProof/>
          <w:sz w:val="18"/>
          <w:lang w:val="en-US"/>
        </w:rPr>
      </w:pPr>
      <w:r w:rsidRPr="006C367F">
        <w:rPr>
          <w:noProof/>
          <w:sz w:val="18"/>
          <w:lang w:val="en-US"/>
        </w:rPr>
        <w:drawing>
          <wp:inline distT="0" distB="0" distL="0" distR="0" wp14:anchorId="37B89038" wp14:editId="3E818019">
            <wp:extent cx="5950528" cy="44628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8692" cy="446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E471" w14:textId="77777777" w:rsidR="00BA35C1" w:rsidRDefault="00BA35C1" w:rsidP="006B4F1B">
      <w:pPr>
        <w:jc w:val="both"/>
        <w:rPr>
          <w:noProof/>
          <w:sz w:val="18"/>
          <w:lang w:val="en-US"/>
        </w:rPr>
      </w:pPr>
    </w:p>
    <w:p w14:paraId="3FD678DA" w14:textId="77777777" w:rsidR="003224E2" w:rsidRDefault="00AE4EBD" w:rsidP="006B4F1B">
      <w:pPr>
        <w:jc w:val="both"/>
        <w:rPr>
          <w:lang w:val="en-US"/>
        </w:rPr>
      </w:pPr>
      <w:r>
        <w:rPr>
          <w:lang w:val="en-US"/>
        </w:rPr>
        <w:t xml:space="preserve">IRAC </w:t>
      </w:r>
      <w:r w:rsidR="003224E2">
        <w:rPr>
          <w:lang w:val="en-US"/>
        </w:rPr>
        <w:t xml:space="preserve">have worked with local </w:t>
      </w:r>
      <w:r w:rsidR="00D660D0" w:rsidRPr="00A73BDA">
        <w:rPr>
          <w:lang w:val="en-US"/>
        </w:rPr>
        <w:t>agricultural ministry officials</w:t>
      </w:r>
      <w:r w:rsidR="00F43C70">
        <w:rPr>
          <w:lang w:val="en-US"/>
        </w:rPr>
        <w:t>,</w:t>
      </w:r>
      <w:r w:rsidR="003224E2">
        <w:rPr>
          <w:lang w:val="en-US"/>
        </w:rPr>
        <w:t xml:space="preserve"> and </w:t>
      </w:r>
      <w:r w:rsidR="005D2FBC">
        <w:rPr>
          <w:lang w:val="en-US"/>
        </w:rPr>
        <w:t>entomological experts</w:t>
      </w:r>
      <w:r w:rsidR="003224E2">
        <w:rPr>
          <w:lang w:val="en-US"/>
        </w:rPr>
        <w:t xml:space="preserve"> from </w:t>
      </w:r>
      <w:r w:rsidR="000C7A4B">
        <w:rPr>
          <w:lang w:val="en-US"/>
        </w:rPr>
        <w:t>Spain, France, Italy and the UK</w:t>
      </w:r>
      <w:r w:rsidR="00F43C70">
        <w:rPr>
          <w:lang w:val="en-US"/>
        </w:rPr>
        <w:t>,</w:t>
      </w:r>
      <w:r w:rsidR="000C7A4B">
        <w:rPr>
          <w:lang w:val="en-US"/>
        </w:rPr>
        <w:t xml:space="preserve"> </w:t>
      </w:r>
      <w:r w:rsidR="003224E2">
        <w:rPr>
          <w:lang w:val="en-US"/>
        </w:rPr>
        <w:t>to provide the following advice</w:t>
      </w:r>
      <w:r w:rsidR="00EB044C">
        <w:rPr>
          <w:lang w:val="en-US"/>
        </w:rPr>
        <w:t xml:space="preserve"> for the </w:t>
      </w:r>
      <w:r w:rsidR="00E93F1E">
        <w:rPr>
          <w:lang w:val="en-US"/>
        </w:rPr>
        <w:t>impacted</w:t>
      </w:r>
      <w:r w:rsidR="00EB044C">
        <w:rPr>
          <w:lang w:val="en-US"/>
        </w:rPr>
        <w:t xml:space="preserve"> </w:t>
      </w:r>
      <w:r w:rsidR="006B4F1B">
        <w:rPr>
          <w:lang w:val="en-US"/>
        </w:rPr>
        <w:t>producers</w:t>
      </w:r>
      <w:r w:rsidR="000C7A4B">
        <w:rPr>
          <w:lang w:val="en-US"/>
        </w:rPr>
        <w:t>:</w:t>
      </w:r>
    </w:p>
    <w:p w14:paraId="21E706B5" w14:textId="77777777" w:rsidR="00783043" w:rsidRDefault="00783043" w:rsidP="006B4F1B">
      <w:pPr>
        <w:jc w:val="both"/>
        <w:rPr>
          <w:lang w:val="en-US"/>
        </w:rPr>
      </w:pPr>
      <w:r>
        <w:rPr>
          <w:lang w:val="en-US"/>
        </w:rPr>
        <w:t xml:space="preserve">Where no loss of performance to </w:t>
      </w:r>
      <w:r w:rsidR="006B4F1B">
        <w:rPr>
          <w:lang w:val="en-US"/>
        </w:rPr>
        <w:t>Group 4 insecticides</w:t>
      </w:r>
      <w:r>
        <w:rPr>
          <w:lang w:val="en-US"/>
        </w:rPr>
        <w:t xml:space="preserve"> has been experienced</w:t>
      </w:r>
      <w:r w:rsidR="006C367F">
        <w:rPr>
          <w:lang w:val="en-US"/>
        </w:rPr>
        <w:t xml:space="preserve"> in the field</w:t>
      </w:r>
      <w:r>
        <w:rPr>
          <w:lang w:val="en-US"/>
        </w:rPr>
        <w:t xml:space="preserve">, it is recommended to use a maximum of one </w:t>
      </w:r>
      <w:r w:rsidR="006C367F">
        <w:rPr>
          <w:lang w:val="en-US"/>
        </w:rPr>
        <w:t>IRAC Group 4 insecticide</w:t>
      </w:r>
      <w:r w:rsidR="006649FE">
        <w:rPr>
          <w:lang w:val="en-US"/>
        </w:rPr>
        <w:t xml:space="preserve"> </w:t>
      </w:r>
      <w:r>
        <w:rPr>
          <w:lang w:val="en-US"/>
        </w:rPr>
        <w:t xml:space="preserve">application per crop cycle against </w:t>
      </w:r>
      <w:r w:rsidRPr="00A73BDA">
        <w:rPr>
          <w:i/>
          <w:lang w:val="en-US"/>
        </w:rPr>
        <w:t>Myzus persicae</w:t>
      </w:r>
      <w:r w:rsidRPr="00B82C5C">
        <w:rPr>
          <w:lang w:val="en-US"/>
        </w:rPr>
        <w:t xml:space="preserve"> </w:t>
      </w:r>
      <w:r>
        <w:rPr>
          <w:lang w:val="en-US"/>
        </w:rPr>
        <w:t xml:space="preserve">to </w:t>
      </w:r>
      <w:r w:rsidR="006B4F1B">
        <w:rPr>
          <w:lang w:val="en-US"/>
        </w:rPr>
        <w:t>minimize</w:t>
      </w:r>
      <w:r>
        <w:rPr>
          <w:lang w:val="en-US"/>
        </w:rPr>
        <w:t xml:space="preserve"> the further spread and intensification of the resistance and maintain effectiveness of th</w:t>
      </w:r>
      <w:r w:rsidR="006C367F">
        <w:rPr>
          <w:lang w:val="en-US"/>
        </w:rPr>
        <w:t>ose products</w:t>
      </w:r>
      <w:r w:rsidR="005B6E0D">
        <w:rPr>
          <w:lang w:val="en-US"/>
        </w:rPr>
        <w:t xml:space="preserve"> in the impacted countries</w:t>
      </w:r>
      <w:r>
        <w:rPr>
          <w:lang w:val="en-US"/>
        </w:rPr>
        <w:t>. Depending on crop and country and local guidelines, this single spray may be pre-flowering or post-flowering, but not during  flowering,  to fit with local IPM recommendations</w:t>
      </w:r>
      <w:r w:rsidR="008D5027">
        <w:rPr>
          <w:lang w:val="en-US"/>
        </w:rPr>
        <w:t xml:space="preserve"> </w:t>
      </w:r>
      <w:r w:rsidR="00CA604E">
        <w:rPr>
          <w:lang w:val="en-US"/>
        </w:rPr>
        <w:t xml:space="preserve">(Note: </w:t>
      </w:r>
      <w:r w:rsidR="0086504E">
        <w:rPr>
          <w:lang w:val="en-US"/>
        </w:rPr>
        <w:t>the</w:t>
      </w:r>
      <w:r w:rsidR="008D5027">
        <w:rPr>
          <w:lang w:val="en-US"/>
        </w:rPr>
        <w:t xml:space="preserve"> restrictions to the imidacloprid</w:t>
      </w:r>
      <w:r w:rsidR="00D25311">
        <w:rPr>
          <w:lang w:val="en-US"/>
        </w:rPr>
        <w:t>,</w:t>
      </w:r>
      <w:r w:rsidR="008D5027">
        <w:rPr>
          <w:lang w:val="en-US"/>
        </w:rPr>
        <w:t xml:space="preserve">  thiamethoxam</w:t>
      </w:r>
      <w:r w:rsidR="00D25311">
        <w:rPr>
          <w:lang w:val="en-US"/>
        </w:rPr>
        <w:t xml:space="preserve"> and clothianidin</w:t>
      </w:r>
      <w:r>
        <w:rPr>
          <w:lang w:val="en-US"/>
        </w:rPr>
        <w:t xml:space="preserve"> </w:t>
      </w:r>
      <w:r w:rsidR="008D5027">
        <w:rPr>
          <w:lang w:val="en-US"/>
        </w:rPr>
        <w:t>announced in 201</w:t>
      </w:r>
      <w:r w:rsidR="0086504E">
        <w:rPr>
          <w:lang w:val="en-US"/>
        </w:rPr>
        <w:t>8</w:t>
      </w:r>
      <w:r w:rsidR="008D5027">
        <w:rPr>
          <w:lang w:val="en-US"/>
        </w:rPr>
        <w:t xml:space="preserve"> by the European Commission, the recommended rotation </w:t>
      </w:r>
      <w:proofErr w:type="spellStart"/>
      <w:r w:rsidR="008D5027">
        <w:rPr>
          <w:lang w:val="en-US"/>
        </w:rPr>
        <w:t>programme</w:t>
      </w:r>
      <w:proofErr w:type="spellEnd"/>
      <w:r w:rsidR="008D5027">
        <w:rPr>
          <w:lang w:val="en-US"/>
        </w:rPr>
        <w:t xml:space="preserve"> has been modified accordingly to comply with these restrictions. See attached rotation scheme)</w:t>
      </w:r>
      <w:r w:rsidR="0086504E">
        <w:rPr>
          <w:lang w:val="en-US"/>
        </w:rPr>
        <w:t>.</w:t>
      </w:r>
    </w:p>
    <w:p w14:paraId="36F91A7B" w14:textId="77777777" w:rsidR="003224E2" w:rsidRDefault="001E0A6C" w:rsidP="006B4F1B">
      <w:pPr>
        <w:jc w:val="both"/>
        <w:rPr>
          <w:lang w:val="en-US"/>
        </w:rPr>
      </w:pPr>
      <w:r w:rsidRPr="001E0A6C">
        <w:rPr>
          <w:lang w:val="en-US"/>
        </w:rPr>
        <w:lastRenderedPageBreak/>
        <w:t xml:space="preserve">If a decline in </w:t>
      </w:r>
      <w:r w:rsidR="006B4F1B">
        <w:rPr>
          <w:lang w:val="en-US"/>
        </w:rPr>
        <w:t xml:space="preserve">performance to Group 4 insecticides </w:t>
      </w:r>
      <w:r w:rsidRPr="001E0A6C">
        <w:rPr>
          <w:lang w:val="en-US"/>
        </w:rPr>
        <w:t xml:space="preserve">efficacy against </w:t>
      </w:r>
      <w:r w:rsidRPr="001E0A6C">
        <w:rPr>
          <w:i/>
          <w:lang w:val="en-US"/>
        </w:rPr>
        <w:t>Myzus persicae</w:t>
      </w:r>
      <w:r w:rsidRPr="001E0A6C">
        <w:rPr>
          <w:lang w:val="en-US"/>
        </w:rPr>
        <w:t xml:space="preserve"> was observed during the previous seasons, it is recommended not to use this group of insecticides to prevent escalation or development of resistance.</w:t>
      </w:r>
      <w:r>
        <w:rPr>
          <w:lang w:val="en-US"/>
        </w:rPr>
        <w:t xml:space="preserve"> </w:t>
      </w:r>
      <w:r w:rsidR="003224E2">
        <w:rPr>
          <w:lang w:val="en-US"/>
        </w:rPr>
        <w:t xml:space="preserve">It is recommended </w:t>
      </w:r>
      <w:r>
        <w:rPr>
          <w:lang w:val="en-US"/>
        </w:rPr>
        <w:t>to</w:t>
      </w:r>
      <w:r w:rsidR="002410BD">
        <w:rPr>
          <w:lang w:val="en-US"/>
        </w:rPr>
        <w:t xml:space="preserve"> use </w:t>
      </w:r>
      <w:r w:rsidR="005B6E0D">
        <w:rPr>
          <w:lang w:val="en-US"/>
        </w:rPr>
        <w:t xml:space="preserve">effective </w:t>
      </w:r>
      <w:r w:rsidR="002410BD">
        <w:rPr>
          <w:lang w:val="en-US"/>
        </w:rPr>
        <w:t>insectic</w:t>
      </w:r>
      <w:r w:rsidR="003B009D">
        <w:rPr>
          <w:lang w:val="en-US"/>
        </w:rPr>
        <w:t>i</w:t>
      </w:r>
      <w:r w:rsidR="002410BD">
        <w:rPr>
          <w:lang w:val="en-US"/>
        </w:rPr>
        <w:t>des with other modes of action</w:t>
      </w:r>
      <w:r w:rsidR="00BE2F71">
        <w:rPr>
          <w:lang w:val="en-US"/>
        </w:rPr>
        <w:t>, according to local registrations</w:t>
      </w:r>
      <w:r w:rsidR="000624C6">
        <w:rPr>
          <w:lang w:val="en-US"/>
        </w:rPr>
        <w:t>,</w:t>
      </w:r>
      <w:r w:rsidR="00BE2F71">
        <w:rPr>
          <w:lang w:val="en-US"/>
        </w:rPr>
        <w:t xml:space="preserve"> such as products from</w:t>
      </w:r>
      <w:r w:rsidR="002410BD">
        <w:rPr>
          <w:lang w:val="en-US"/>
        </w:rPr>
        <w:t xml:space="preserve"> </w:t>
      </w:r>
      <w:r w:rsidR="00DF74B8">
        <w:rPr>
          <w:lang w:val="en-US"/>
        </w:rPr>
        <w:t>groups 1</w:t>
      </w:r>
      <w:r w:rsidR="0086504E">
        <w:rPr>
          <w:lang w:val="en-US"/>
        </w:rPr>
        <w:t xml:space="preserve">, </w:t>
      </w:r>
      <w:r w:rsidR="00BE2F71">
        <w:rPr>
          <w:lang w:val="en-US"/>
        </w:rPr>
        <w:t>3, 9, 23</w:t>
      </w:r>
      <w:r w:rsidR="0086504E">
        <w:rPr>
          <w:lang w:val="en-US"/>
        </w:rPr>
        <w:t>, 28</w:t>
      </w:r>
      <w:r w:rsidR="00E93F1E">
        <w:rPr>
          <w:lang w:val="en-US"/>
        </w:rPr>
        <w:t xml:space="preserve"> and 29</w:t>
      </w:r>
      <w:r w:rsidR="00E93F1E">
        <w:rPr>
          <w:sz w:val="18"/>
          <w:vertAlign w:val="superscript"/>
          <w:lang w:val="en-US"/>
        </w:rPr>
        <w:t>5</w:t>
      </w:r>
      <w:r w:rsidR="00BE2F71">
        <w:rPr>
          <w:lang w:val="en-US"/>
        </w:rPr>
        <w:t xml:space="preserve"> as well as </w:t>
      </w:r>
      <w:r w:rsidR="002F5FC2">
        <w:rPr>
          <w:lang w:val="en-US"/>
        </w:rPr>
        <w:t>m</w:t>
      </w:r>
      <w:r w:rsidR="00BE2F71">
        <w:rPr>
          <w:lang w:val="en-US"/>
        </w:rPr>
        <w:t xml:space="preserve">ineral oil </w:t>
      </w:r>
      <w:r w:rsidR="002410BD">
        <w:rPr>
          <w:lang w:val="en-US"/>
        </w:rPr>
        <w:t xml:space="preserve">to control </w:t>
      </w:r>
      <w:r w:rsidR="002410BD" w:rsidRPr="00A72025">
        <w:rPr>
          <w:i/>
          <w:lang w:val="en-US"/>
        </w:rPr>
        <w:t>Myzus persicae</w:t>
      </w:r>
      <w:r w:rsidR="00D049C1">
        <w:rPr>
          <w:sz w:val="18"/>
          <w:vertAlign w:val="superscript"/>
          <w:lang w:val="en-US"/>
        </w:rPr>
        <w:t>6</w:t>
      </w:r>
      <w:r w:rsidR="003224E2">
        <w:rPr>
          <w:lang w:val="en-US"/>
        </w:rPr>
        <w:t xml:space="preserve">. </w:t>
      </w:r>
      <w:r w:rsidR="00783043">
        <w:rPr>
          <w:lang w:val="en-US"/>
        </w:rPr>
        <w:t xml:space="preserve">IRAC </w:t>
      </w:r>
      <w:r w:rsidR="000624C6">
        <w:rPr>
          <w:lang w:val="en-US"/>
        </w:rPr>
        <w:t>supports</w:t>
      </w:r>
      <w:r w:rsidR="00783043">
        <w:rPr>
          <w:lang w:val="en-US"/>
        </w:rPr>
        <w:t xml:space="preserve"> </w:t>
      </w:r>
      <w:r w:rsidR="006C367F">
        <w:rPr>
          <w:lang w:val="en-US"/>
        </w:rPr>
        <w:t xml:space="preserve">also </w:t>
      </w:r>
      <w:r w:rsidR="00783043">
        <w:rPr>
          <w:lang w:val="en-US"/>
        </w:rPr>
        <w:t>the use of any other IPM measures locally recommended</w:t>
      </w:r>
      <w:r w:rsidR="006C367F">
        <w:rPr>
          <w:lang w:val="en-US"/>
        </w:rPr>
        <w:t>.</w:t>
      </w:r>
      <w:r w:rsidR="00783043">
        <w:rPr>
          <w:lang w:val="en-US"/>
        </w:rPr>
        <w:t xml:space="preserve"> </w:t>
      </w:r>
      <w:r w:rsidR="0086504E">
        <w:rPr>
          <w:lang w:val="en-US"/>
        </w:rPr>
        <w:t>When the other mode of action insecticide is chosen</w:t>
      </w:r>
      <w:r w:rsidR="005B6E0D">
        <w:rPr>
          <w:lang w:val="en-US"/>
        </w:rPr>
        <w:t>,</w:t>
      </w:r>
      <w:r w:rsidR="0086504E">
        <w:rPr>
          <w:lang w:val="en-US"/>
        </w:rPr>
        <w:t xml:space="preserve"> the resistance status of the specific </w:t>
      </w:r>
      <w:r w:rsidR="0086504E" w:rsidRPr="001E0A6C">
        <w:rPr>
          <w:i/>
          <w:lang w:val="en-US"/>
        </w:rPr>
        <w:t>Myzus persicae</w:t>
      </w:r>
      <w:r w:rsidR="0086504E">
        <w:rPr>
          <w:i/>
          <w:lang w:val="en-US"/>
        </w:rPr>
        <w:t xml:space="preserve"> </w:t>
      </w:r>
      <w:r w:rsidR="0086504E" w:rsidRPr="0086504E">
        <w:rPr>
          <w:lang w:val="en-US"/>
        </w:rPr>
        <w:t>population should be considered</w:t>
      </w:r>
      <w:r w:rsidR="0086504E">
        <w:rPr>
          <w:lang w:val="en-US"/>
        </w:rPr>
        <w:t xml:space="preserve"> to avoid using insecticides, which are </w:t>
      </w:r>
      <w:r w:rsidR="005C52E0">
        <w:rPr>
          <w:lang w:val="en-US"/>
        </w:rPr>
        <w:t xml:space="preserve">also </w:t>
      </w:r>
      <w:r w:rsidR="0086504E">
        <w:rPr>
          <w:lang w:val="en-US"/>
        </w:rPr>
        <w:t>resisted</w:t>
      </w:r>
      <w:r w:rsidR="005C52E0">
        <w:rPr>
          <w:lang w:val="en-US"/>
        </w:rPr>
        <w:t xml:space="preserve"> by the aphids.</w:t>
      </w:r>
      <w:r w:rsidR="006B4F1B">
        <w:rPr>
          <w:lang w:val="en-US"/>
        </w:rPr>
        <w:t xml:space="preserve"> The best </w:t>
      </w:r>
      <w:r w:rsidR="005B6E0D">
        <w:rPr>
          <w:lang w:val="en-US"/>
        </w:rPr>
        <w:t xml:space="preserve">practical </w:t>
      </w:r>
      <w:r w:rsidR="006B4F1B">
        <w:rPr>
          <w:lang w:val="en-US"/>
        </w:rPr>
        <w:t xml:space="preserve">indicator is the historical performance of those insecticides in the </w:t>
      </w:r>
      <w:r w:rsidR="005B6E0D">
        <w:rPr>
          <w:lang w:val="en-US"/>
        </w:rPr>
        <w:t xml:space="preserve">specific </w:t>
      </w:r>
      <w:r w:rsidR="006B4F1B">
        <w:rPr>
          <w:lang w:val="en-US"/>
        </w:rPr>
        <w:t>region.</w:t>
      </w:r>
    </w:p>
    <w:p w14:paraId="0D79BA87" w14:textId="77777777" w:rsidR="00F46AD1" w:rsidRDefault="005D2FBC" w:rsidP="006B4F1B">
      <w:pPr>
        <w:jc w:val="both"/>
        <w:rPr>
          <w:rFonts w:cs="Calibri"/>
          <w:lang w:val="en-US"/>
        </w:rPr>
      </w:pPr>
      <w:r>
        <w:t>Acknowledgements: Many thanks to</w:t>
      </w:r>
      <w:r w:rsidR="00D678C7">
        <w:t xml:space="preserve"> representatives of</w:t>
      </w:r>
      <w:r>
        <w:t xml:space="preserve"> Rothamsted Research</w:t>
      </w:r>
      <w:r w:rsidR="00D678C7">
        <w:t xml:space="preserve"> International</w:t>
      </w:r>
      <w:r>
        <w:t>,</w:t>
      </w:r>
      <w:r w:rsidR="00D660D0" w:rsidRPr="00D660D0">
        <w:rPr>
          <w:rFonts w:cs="Calibri"/>
          <w:bCs/>
          <w:lang w:val="it-IT"/>
        </w:rPr>
        <w:t xml:space="preserve"> </w:t>
      </w:r>
      <w:r w:rsidR="00D678C7">
        <w:rPr>
          <w:rFonts w:cs="Calibri"/>
          <w:bCs/>
          <w:lang w:val="it-IT"/>
        </w:rPr>
        <w:t xml:space="preserve"> </w:t>
      </w:r>
      <w:r w:rsidR="00E477B8" w:rsidRPr="00E477B8">
        <w:rPr>
          <w:rFonts w:cs="Calibri"/>
          <w:bCs/>
          <w:lang w:val="it-IT"/>
        </w:rPr>
        <w:t>Università Cattolica del Sacro Cuore - Piacenza campus</w:t>
      </w:r>
      <w:r w:rsidR="00D678C7">
        <w:rPr>
          <w:rFonts w:cs="Calibri"/>
          <w:bCs/>
          <w:lang w:val="it-IT"/>
        </w:rPr>
        <w:t xml:space="preserve">, </w:t>
      </w:r>
      <w:proofErr w:type="spellStart"/>
      <w:r w:rsidR="00D678C7">
        <w:rPr>
          <w:rFonts w:cs="Calibri"/>
          <w:bCs/>
          <w:lang w:val="it-IT"/>
        </w:rPr>
        <w:t>Italy</w:t>
      </w:r>
      <w:proofErr w:type="spellEnd"/>
      <w:r>
        <w:rPr>
          <w:rFonts w:cs="Calibri"/>
          <w:bCs/>
          <w:lang w:val="it-IT"/>
        </w:rPr>
        <w:t xml:space="preserve">, </w:t>
      </w:r>
      <w:r w:rsidR="00D678C7">
        <w:rPr>
          <w:rFonts w:cs="Calibri"/>
          <w:bCs/>
          <w:lang w:val="it-IT"/>
        </w:rPr>
        <w:t>Uni</w:t>
      </w:r>
      <w:proofErr w:type="spellStart"/>
      <w:r w:rsidR="00D660D0" w:rsidRPr="00D660D0">
        <w:rPr>
          <w:rFonts w:cs="Calibri"/>
          <w:lang w:val="en-US"/>
        </w:rPr>
        <w:t>versity</w:t>
      </w:r>
      <w:proofErr w:type="spellEnd"/>
      <w:r w:rsidR="00D660D0" w:rsidRPr="00D660D0">
        <w:rPr>
          <w:rFonts w:cs="Calibri"/>
          <w:lang w:val="en-US"/>
        </w:rPr>
        <w:t xml:space="preserve"> of Cartagena</w:t>
      </w:r>
      <w:r w:rsidR="00D678C7">
        <w:rPr>
          <w:rFonts w:cs="Calibri"/>
          <w:lang w:val="en-US"/>
        </w:rPr>
        <w:t>, Spain</w:t>
      </w:r>
      <w:r w:rsidR="00D660D0" w:rsidRPr="00D660D0">
        <w:rPr>
          <w:rFonts w:cs="Calibri"/>
          <w:lang w:val="en-US"/>
        </w:rPr>
        <w:t xml:space="preserve">, </w:t>
      </w:r>
      <w:r w:rsidR="00D678C7">
        <w:rPr>
          <w:rFonts w:cs="Calibri"/>
          <w:lang w:val="en-US"/>
        </w:rPr>
        <w:t xml:space="preserve">Chamber of Agriculture in </w:t>
      </w:r>
      <w:r w:rsidR="00D660D0" w:rsidRPr="006D3D10">
        <w:rPr>
          <w:rFonts w:cs="Calibri"/>
          <w:lang w:val="en-US"/>
        </w:rPr>
        <w:t>Catalunya</w:t>
      </w:r>
      <w:r w:rsidR="00D678C7">
        <w:rPr>
          <w:rFonts w:cs="Calibri"/>
          <w:lang w:val="en-US"/>
        </w:rPr>
        <w:t xml:space="preserve"> and </w:t>
      </w:r>
      <w:r w:rsidR="00D660D0" w:rsidRPr="006D3D10">
        <w:rPr>
          <w:rFonts w:cs="Calibri"/>
          <w:lang w:val="en-US"/>
        </w:rPr>
        <w:t>Aragon</w:t>
      </w:r>
      <w:r w:rsidR="00D678C7">
        <w:rPr>
          <w:rFonts w:cs="Calibri"/>
          <w:lang w:val="en-US"/>
        </w:rPr>
        <w:t xml:space="preserve"> in Spain</w:t>
      </w:r>
      <w:r w:rsidR="00D5052F" w:rsidRPr="006D3D10">
        <w:rPr>
          <w:rFonts w:cs="Calibri"/>
          <w:lang w:val="en-US"/>
        </w:rPr>
        <w:t xml:space="preserve"> </w:t>
      </w:r>
      <w:r w:rsidR="00D678C7">
        <w:rPr>
          <w:rFonts w:cs="Calibri"/>
          <w:lang w:val="en-US"/>
        </w:rPr>
        <w:t xml:space="preserve">and the IRAC </w:t>
      </w:r>
      <w:r w:rsidR="00BD5149">
        <w:rPr>
          <w:rFonts w:cs="Calibri"/>
          <w:lang w:val="en-US"/>
        </w:rPr>
        <w:t xml:space="preserve">Spain </w:t>
      </w:r>
      <w:r w:rsidR="00D678C7">
        <w:rPr>
          <w:rFonts w:cs="Calibri"/>
          <w:lang w:val="en-US"/>
        </w:rPr>
        <w:t xml:space="preserve">Sucking Pest Working </w:t>
      </w:r>
      <w:r w:rsidR="00AD244E">
        <w:rPr>
          <w:rFonts w:cs="Calibri"/>
          <w:lang w:val="en-US"/>
        </w:rPr>
        <w:t>G</w:t>
      </w:r>
      <w:r w:rsidR="00D678C7">
        <w:rPr>
          <w:rFonts w:cs="Calibri"/>
          <w:lang w:val="en-US"/>
        </w:rPr>
        <w:t xml:space="preserve">roup </w:t>
      </w:r>
      <w:r w:rsidR="00EA45D7">
        <w:rPr>
          <w:rFonts w:cs="Calibri"/>
          <w:lang w:val="en-US"/>
        </w:rPr>
        <w:t>for inputs into the</w:t>
      </w:r>
      <w:r w:rsidR="00D5052F">
        <w:rPr>
          <w:rFonts w:cs="Calibri"/>
          <w:lang w:val="en-US"/>
        </w:rPr>
        <w:t>se</w:t>
      </w:r>
      <w:r w:rsidR="00EA45D7">
        <w:rPr>
          <w:rFonts w:cs="Calibri"/>
          <w:lang w:val="en-US"/>
        </w:rPr>
        <w:t xml:space="preserve"> IRM recommendations</w:t>
      </w:r>
      <w:r w:rsidR="00A73BDA">
        <w:rPr>
          <w:rFonts w:cs="Calibri"/>
          <w:lang w:val="en-US"/>
        </w:rPr>
        <w:t>.</w:t>
      </w:r>
    </w:p>
    <w:p w14:paraId="11F5785B" w14:textId="77777777" w:rsidR="00BE3DB0" w:rsidRDefault="00506CC0" w:rsidP="006B4F1B">
      <w:pPr>
        <w:jc w:val="both"/>
        <w:rPr>
          <w:rFonts w:cs="Calibri"/>
          <w:noProof/>
          <w:lang w:val="en-US"/>
        </w:rPr>
      </w:pPr>
      <w:r w:rsidRPr="00506CC0">
        <w:rPr>
          <w:sz w:val="18"/>
          <w:vertAlign w:val="superscript"/>
        </w:rPr>
        <w:t>1</w:t>
      </w:r>
      <w:r w:rsidRPr="00506CC0">
        <w:rPr>
          <w:sz w:val="18"/>
        </w:rPr>
        <w:t xml:space="preserve"> Bass et al. BMC Neuroscience 2011, 12:51 Mutation of a nicotinic acetylcholine receptor beta subunit is associated with resistance to</w:t>
      </w:r>
      <w:r>
        <w:rPr>
          <w:sz w:val="18"/>
        </w:rPr>
        <w:t xml:space="preserve"> </w:t>
      </w:r>
      <w:r w:rsidRPr="000624C6">
        <w:rPr>
          <w:sz w:val="18"/>
        </w:rPr>
        <w:t xml:space="preserve">neonicotinoid insecticides in the aphid </w:t>
      </w:r>
      <w:r w:rsidRPr="00506CC0">
        <w:rPr>
          <w:i/>
          <w:sz w:val="18"/>
        </w:rPr>
        <w:t>Myzus persicae</w:t>
      </w:r>
      <w:r>
        <w:rPr>
          <w:sz w:val="18"/>
        </w:rPr>
        <w:br/>
      </w:r>
      <w:r w:rsidR="00D049C1">
        <w:rPr>
          <w:sz w:val="18"/>
          <w:vertAlign w:val="superscript"/>
          <w:lang w:val="en-US"/>
        </w:rPr>
        <w:t>2</w:t>
      </w:r>
      <w:r w:rsidR="00D049C1">
        <w:rPr>
          <w:sz w:val="18"/>
          <w:lang w:val="en-US"/>
        </w:rPr>
        <w:t xml:space="preserve"> </w:t>
      </w:r>
      <w:proofErr w:type="spellStart"/>
      <w:r w:rsidR="00D049C1">
        <w:rPr>
          <w:sz w:val="18"/>
          <w:lang w:val="en-US"/>
        </w:rPr>
        <w:t>Puinean</w:t>
      </w:r>
      <w:proofErr w:type="spellEnd"/>
      <w:r w:rsidR="00D049C1">
        <w:rPr>
          <w:sz w:val="18"/>
          <w:lang w:val="en-US"/>
        </w:rPr>
        <w:t xml:space="preserve"> et al </w:t>
      </w:r>
      <w:r w:rsidR="00D049C1" w:rsidRPr="00D049C1">
        <w:rPr>
          <w:sz w:val="18"/>
          <w:lang w:val="en-US"/>
        </w:rPr>
        <w:t xml:space="preserve">Pest </w:t>
      </w:r>
      <w:proofErr w:type="spellStart"/>
      <w:r w:rsidR="00D049C1" w:rsidRPr="00D049C1">
        <w:rPr>
          <w:sz w:val="18"/>
          <w:lang w:val="en-US"/>
        </w:rPr>
        <w:t>Manag</w:t>
      </w:r>
      <w:proofErr w:type="spellEnd"/>
      <w:r w:rsidR="00D049C1" w:rsidRPr="00D049C1">
        <w:rPr>
          <w:sz w:val="18"/>
          <w:lang w:val="en-US"/>
        </w:rPr>
        <w:t xml:space="preserve"> Sci (2012)</w:t>
      </w:r>
      <w:r w:rsidR="00D049C1">
        <w:rPr>
          <w:sz w:val="18"/>
          <w:lang w:val="en-US"/>
        </w:rPr>
        <w:t xml:space="preserve">, Society of Chemical Industry, </w:t>
      </w:r>
      <w:r w:rsidR="00D049C1" w:rsidRPr="00D049C1">
        <w:rPr>
          <w:sz w:val="18"/>
          <w:lang w:val="en-US"/>
        </w:rPr>
        <w:t>Development of a high-throughput real-time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PCR assay for the detection of the R81T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mutation in the nicotinic acetylcholine receptor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 xml:space="preserve">of neonicotinoid-resistant </w:t>
      </w:r>
      <w:r w:rsidR="00D049C1" w:rsidRPr="00D049C1">
        <w:rPr>
          <w:i/>
          <w:sz w:val="18"/>
          <w:lang w:val="en-US"/>
        </w:rPr>
        <w:t>Myzus persicae</w:t>
      </w:r>
      <w:r w:rsidR="00D049C1">
        <w:rPr>
          <w:sz w:val="18"/>
          <w:lang w:val="en-US"/>
        </w:rPr>
        <w:t>.</w:t>
      </w:r>
      <w:r w:rsidR="00D049C1">
        <w:rPr>
          <w:sz w:val="18"/>
          <w:lang w:val="en-US"/>
        </w:rPr>
        <w:br/>
      </w:r>
      <w:r w:rsidR="00D049C1">
        <w:rPr>
          <w:sz w:val="18"/>
          <w:vertAlign w:val="superscript"/>
          <w:lang w:val="en-US"/>
        </w:rPr>
        <w:t>3</w:t>
      </w:r>
      <w:r w:rsidR="00D049C1">
        <w:rPr>
          <w:sz w:val="18"/>
          <w:lang w:val="en-US"/>
        </w:rPr>
        <w:t xml:space="preserve"> Slater et al, </w:t>
      </w:r>
      <w:r w:rsidR="00D049C1" w:rsidRPr="00D049C1">
        <w:rPr>
          <w:sz w:val="18"/>
          <w:lang w:val="en-US"/>
        </w:rPr>
        <w:t xml:space="preserve">Pest </w:t>
      </w:r>
      <w:proofErr w:type="spellStart"/>
      <w:r w:rsidR="00D049C1" w:rsidRPr="00D049C1">
        <w:rPr>
          <w:sz w:val="18"/>
          <w:lang w:val="en-US"/>
        </w:rPr>
        <w:t>Manag</w:t>
      </w:r>
      <w:proofErr w:type="spellEnd"/>
      <w:r w:rsidR="00D049C1" w:rsidRPr="00D049C1">
        <w:rPr>
          <w:sz w:val="18"/>
          <w:lang w:val="en-US"/>
        </w:rPr>
        <w:t xml:space="preserve"> Sci 2012; 68: 634–638</w:t>
      </w:r>
      <w:r w:rsidR="00D049C1">
        <w:rPr>
          <w:sz w:val="18"/>
          <w:lang w:val="en-US"/>
        </w:rPr>
        <w:t xml:space="preserve">, Society of Chemical Industry, </w:t>
      </w:r>
      <w:r w:rsidR="00D049C1" w:rsidRPr="00D049C1">
        <w:rPr>
          <w:sz w:val="18"/>
          <w:lang w:val="en-US"/>
        </w:rPr>
        <w:t>Identifying the presence of neonicotinoid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resistant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peach-potato aphid (Myzus persicae)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in the peach-growing regions of southern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France and northern Spain</w:t>
      </w:r>
      <w:r w:rsidR="00D049C1">
        <w:rPr>
          <w:sz w:val="18"/>
          <w:lang w:val="en-US"/>
        </w:rPr>
        <w:br/>
      </w:r>
      <w:r w:rsidR="00D049C1">
        <w:rPr>
          <w:sz w:val="18"/>
          <w:vertAlign w:val="superscript"/>
          <w:lang w:val="en-US"/>
        </w:rPr>
        <w:t>4</w:t>
      </w:r>
      <w:r w:rsidR="00D049C1">
        <w:rPr>
          <w:sz w:val="18"/>
          <w:lang w:val="en-US"/>
        </w:rPr>
        <w:t xml:space="preserve"> Panini et al, </w:t>
      </w:r>
      <w:r w:rsidR="00D049C1" w:rsidRPr="00D049C1">
        <w:rPr>
          <w:sz w:val="18"/>
          <w:lang w:val="en-US"/>
        </w:rPr>
        <w:t xml:space="preserve">Pest </w:t>
      </w:r>
      <w:proofErr w:type="spellStart"/>
      <w:r w:rsidR="00D049C1" w:rsidRPr="00D049C1">
        <w:rPr>
          <w:sz w:val="18"/>
          <w:lang w:val="en-US"/>
        </w:rPr>
        <w:t>Manag</w:t>
      </w:r>
      <w:proofErr w:type="spellEnd"/>
      <w:r w:rsidR="00D049C1" w:rsidRPr="00D049C1">
        <w:rPr>
          <w:sz w:val="18"/>
          <w:lang w:val="en-US"/>
        </w:rPr>
        <w:t xml:space="preserve"> Sci (2013)</w:t>
      </w:r>
      <w:r w:rsidR="00D049C1">
        <w:rPr>
          <w:sz w:val="18"/>
          <w:lang w:val="en-US"/>
        </w:rPr>
        <w:t xml:space="preserve">,  Society of Chemical Industry, </w:t>
      </w:r>
      <w:r w:rsidR="00D049C1" w:rsidRPr="00D049C1">
        <w:rPr>
          <w:sz w:val="18"/>
          <w:lang w:val="en-US"/>
        </w:rPr>
        <w:t>Detecting the presence of target-site resistance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to neonicotinoids and pyrethroids in Italian</w:t>
      </w:r>
      <w:r w:rsidR="00D049C1">
        <w:rPr>
          <w:sz w:val="18"/>
          <w:lang w:val="en-US"/>
        </w:rPr>
        <w:t xml:space="preserve"> </w:t>
      </w:r>
      <w:r w:rsidR="00D049C1" w:rsidRPr="00D049C1">
        <w:rPr>
          <w:sz w:val="18"/>
          <w:lang w:val="en-US"/>
        </w:rPr>
        <w:t>populations of Myzus persicae</w:t>
      </w:r>
      <w:r w:rsidR="00B61650">
        <w:rPr>
          <w:sz w:val="18"/>
          <w:lang w:val="en-US"/>
        </w:rPr>
        <w:br/>
      </w:r>
      <w:r w:rsidR="00D049C1">
        <w:rPr>
          <w:sz w:val="18"/>
          <w:vertAlign w:val="superscript"/>
        </w:rPr>
        <w:t>5</w:t>
      </w:r>
      <w:r w:rsidRPr="00A4238C">
        <w:rPr>
          <w:lang w:val="en-US"/>
        </w:rPr>
        <w:t xml:space="preserve"> </w:t>
      </w:r>
      <w:r w:rsidRPr="00615765">
        <w:rPr>
          <w:sz w:val="18"/>
          <w:lang w:val="en-US"/>
        </w:rPr>
        <w:t>See IRAC guideline</w:t>
      </w:r>
      <w:r>
        <w:rPr>
          <w:sz w:val="18"/>
          <w:lang w:val="en-US"/>
        </w:rPr>
        <w:t>s</w:t>
      </w:r>
      <w:r w:rsidRPr="00615765">
        <w:rPr>
          <w:sz w:val="18"/>
          <w:lang w:val="en-US"/>
        </w:rPr>
        <w:t xml:space="preserve"> on </w:t>
      </w:r>
      <w:r w:rsidRPr="00615765">
        <w:rPr>
          <w:i/>
          <w:sz w:val="18"/>
          <w:lang w:val="en-US"/>
        </w:rPr>
        <w:t>Myzus persicae</w:t>
      </w:r>
      <w:r>
        <w:rPr>
          <w:sz w:val="18"/>
          <w:lang w:val="en-US"/>
        </w:rPr>
        <w:t xml:space="preserve"> resistance management on the IRAC website</w:t>
      </w:r>
      <w:r>
        <w:rPr>
          <w:sz w:val="18"/>
          <w:lang w:val="en-US"/>
        </w:rPr>
        <w:br/>
      </w:r>
      <w:r w:rsidR="00D049C1">
        <w:rPr>
          <w:sz w:val="18"/>
          <w:vertAlign w:val="superscript"/>
        </w:rPr>
        <w:t>6</w:t>
      </w:r>
      <w:r>
        <w:rPr>
          <w:sz w:val="18"/>
        </w:rPr>
        <w:t xml:space="preserve"> </w:t>
      </w:r>
      <w:r w:rsidRPr="00615765">
        <w:rPr>
          <w:sz w:val="18"/>
        </w:rPr>
        <w:t xml:space="preserve">Consult local advisors for </w:t>
      </w:r>
      <w:r>
        <w:rPr>
          <w:sz w:val="18"/>
        </w:rPr>
        <w:t xml:space="preserve">advice on which </w:t>
      </w:r>
      <w:r w:rsidRPr="00615765">
        <w:rPr>
          <w:sz w:val="18"/>
        </w:rPr>
        <w:t>aphicides are affected by resistance in your locality.</w:t>
      </w:r>
      <w:r>
        <w:rPr>
          <w:sz w:val="18"/>
        </w:rPr>
        <w:br/>
      </w:r>
      <w:r w:rsidR="00D049C1">
        <w:rPr>
          <w:sz w:val="18"/>
          <w:lang w:val="en-US"/>
        </w:rPr>
        <w:br/>
      </w:r>
      <w:r w:rsidR="00B61650">
        <w:rPr>
          <w:rFonts w:cs="Calibri"/>
          <w:lang w:val="en-US"/>
        </w:rPr>
        <w:t xml:space="preserve">Example of an IRM-based </w:t>
      </w:r>
      <w:r w:rsidR="005C52E0">
        <w:rPr>
          <w:rFonts w:cs="Calibri"/>
          <w:lang w:val="en-US"/>
        </w:rPr>
        <w:t>P</w:t>
      </w:r>
      <w:r w:rsidR="00B61650">
        <w:rPr>
          <w:rFonts w:cs="Calibri"/>
          <w:lang w:val="en-US"/>
        </w:rPr>
        <w:t>rogram in Ston</w:t>
      </w:r>
      <w:r w:rsidR="005C52E0">
        <w:rPr>
          <w:rFonts w:cs="Calibri"/>
          <w:lang w:val="en-US"/>
        </w:rPr>
        <w:t>e Fruits in Southern Europe to L</w:t>
      </w:r>
      <w:r w:rsidR="00B61650">
        <w:rPr>
          <w:rFonts w:cs="Calibri"/>
          <w:lang w:val="en-US"/>
        </w:rPr>
        <w:t xml:space="preserve">imit </w:t>
      </w:r>
      <w:r w:rsidR="005C52E0">
        <w:rPr>
          <w:rFonts w:cs="Calibri"/>
          <w:lang w:val="en-US"/>
        </w:rPr>
        <w:t>S</w:t>
      </w:r>
      <w:r w:rsidR="00B61650">
        <w:rPr>
          <w:rFonts w:cs="Calibri"/>
          <w:lang w:val="en-US"/>
        </w:rPr>
        <w:t xml:space="preserve">pread of </w:t>
      </w:r>
      <w:r w:rsidR="006C367F">
        <w:rPr>
          <w:rFonts w:cs="Calibri"/>
          <w:lang w:val="en-US"/>
        </w:rPr>
        <w:t>R81</w:t>
      </w:r>
      <w:r w:rsidR="005B6E0D">
        <w:rPr>
          <w:rFonts w:cs="Calibri"/>
          <w:lang w:val="en-US"/>
        </w:rPr>
        <w:t>T</w:t>
      </w:r>
      <w:r w:rsidR="006C367F">
        <w:rPr>
          <w:rFonts w:cs="Calibri"/>
          <w:lang w:val="en-US"/>
        </w:rPr>
        <w:t xml:space="preserve"> </w:t>
      </w:r>
      <w:r w:rsidR="005C52E0">
        <w:rPr>
          <w:rFonts w:cs="Calibri"/>
          <w:lang w:val="en-US"/>
        </w:rPr>
        <w:t>T</w:t>
      </w:r>
      <w:r w:rsidR="00B61650">
        <w:rPr>
          <w:rFonts w:cs="Calibri"/>
          <w:lang w:val="en-US"/>
        </w:rPr>
        <w:t xml:space="preserve">arget </w:t>
      </w:r>
      <w:r w:rsidR="005C52E0">
        <w:rPr>
          <w:rFonts w:cs="Calibri"/>
          <w:lang w:val="en-US"/>
        </w:rPr>
        <w:t>S</w:t>
      </w:r>
      <w:r w:rsidR="00B61650">
        <w:rPr>
          <w:rFonts w:cs="Calibri"/>
          <w:lang w:val="en-US"/>
        </w:rPr>
        <w:t xml:space="preserve">ite </w:t>
      </w:r>
      <w:r w:rsidR="005C52E0">
        <w:rPr>
          <w:rFonts w:cs="Calibri"/>
          <w:lang w:val="en-US"/>
        </w:rPr>
        <w:t>R</w:t>
      </w:r>
      <w:r w:rsidR="00B61650">
        <w:rPr>
          <w:rFonts w:cs="Calibri"/>
          <w:lang w:val="en-US"/>
        </w:rPr>
        <w:t xml:space="preserve">esistance in </w:t>
      </w:r>
      <w:r w:rsidR="00B61650" w:rsidRPr="00DF4E82">
        <w:rPr>
          <w:rFonts w:cs="Calibri"/>
          <w:i/>
          <w:lang w:val="en-US"/>
        </w:rPr>
        <w:t>Myzus persicae</w:t>
      </w:r>
      <w:r w:rsidR="00B61650">
        <w:rPr>
          <w:rFonts w:cs="Calibri"/>
          <w:i/>
          <w:lang w:val="en-US"/>
        </w:rPr>
        <w:t>:</w:t>
      </w:r>
      <w:r w:rsidR="00E93F1E">
        <w:rPr>
          <w:rFonts w:cs="Calibri"/>
          <w:i/>
          <w:lang w:val="en-US"/>
        </w:rPr>
        <w:t xml:space="preserve"> </w:t>
      </w:r>
    </w:p>
    <w:p w14:paraId="1116EE17" w14:textId="77777777" w:rsidR="00273A84" w:rsidRPr="00680879" w:rsidRDefault="00141331" w:rsidP="00273A84">
      <w:pPr>
        <w:rPr>
          <w:rFonts w:cs="Calibri"/>
          <w:lang w:val="en-US"/>
        </w:rPr>
      </w:pPr>
      <w:r>
        <w:rPr>
          <w:rFonts w:cs="Calibri"/>
          <w:noProof/>
          <w:lang w:val="en-US"/>
        </w:rPr>
        <w:object w:dxaOrig="7200" w:dyaOrig="5390" w14:anchorId="091C0B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93.85pt;height:369.05pt;mso-width-percent:0;mso-height-percent:0;mso-width-percent:0;mso-height-percent:0" o:ole="">
            <v:imagedata r:id="rId8" o:title=""/>
          </v:shape>
          <o:OLEObject Type="Embed" ProgID="PowerPoint.Slide.12" ShapeID="_x0000_i1025" DrawAspect="Content" ObjectID="_1618407105" r:id="rId9"/>
        </w:object>
      </w:r>
    </w:p>
    <w:sectPr w:rsidR="00273A84" w:rsidRPr="00680879" w:rsidSect="004D3C4D">
      <w:headerReference w:type="default" r:id="rId10"/>
      <w:pgSz w:w="11906" w:h="16838"/>
      <w:pgMar w:top="993" w:right="566" w:bottom="567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B3F94" w14:textId="77777777" w:rsidR="00141331" w:rsidRDefault="00141331" w:rsidP="00B13ED3">
      <w:pPr>
        <w:spacing w:after="0" w:line="240" w:lineRule="auto"/>
      </w:pPr>
      <w:r>
        <w:separator/>
      </w:r>
    </w:p>
  </w:endnote>
  <w:endnote w:type="continuationSeparator" w:id="0">
    <w:p w14:paraId="5C98005C" w14:textId="77777777" w:rsidR="00141331" w:rsidRDefault="00141331" w:rsidP="00B13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4F6D74" w14:textId="77777777" w:rsidR="00141331" w:rsidRDefault="00141331" w:rsidP="00B13ED3">
      <w:pPr>
        <w:spacing w:after="0" w:line="240" w:lineRule="auto"/>
      </w:pPr>
      <w:r>
        <w:separator/>
      </w:r>
    </w:p>
  </w:footnote>
  <w:footnote w:type="continuationSeparator" w:id="0">
    <w:p w14:paraId="61F00E75" w14:textId="77777777" w:rsidR="00141331" w:rsidRDefault="00141331" w:rsidP="00B13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C9F63" w14:textId="167339CC" w:rsidR="00D42981" w:rsidRDefault="00D42981">
    <w:pPr>
      <w:pStyle w:val="Header"/>
    </w:pPr>
    <w:r>
      <w:t xml:space="preserve">IRAC </w:t>
    </w:r>
    <w:r w:rsidR="007D66F2">
      <w:t>IRM Guideline</w:t>
    </w:r>
    <w:r>
      <w:t xml:space="preserve"> 201</w:t>
    </w:r>
    <w:r w:rsidR="006C367F">
      <w:t>9</w:t>
    </w:r>
    <w:r w:rsidR="00FE08D7">
      <w:t xml:space="preserve"> </w:t>
    </w:r>
    <w:r>
      <w:ptab w:relativeTo="margin" w:alignment="center" w:leader="none"/>
    </w:r>
    <w:r>
      <w:t xml:space="preserve">Page </w:t>
    </w:r>
    <w:r w:rsidR="00DF6B80">
      <w:fldChar w:fldCharType="begin"/>
    </w:r>
    <w:r>
      <w:instrText xml:space="preserve"> PAGE   \* MERGEFORMAT </w:instrText>
    </w:r>
    <w:r w:rsidR="00DF6B80">
      <w:fldChar w:fldCharType="separate"/>
    </w:r>
    <w:r w:rsidR="004344C5">
      <w:rPr>
        <w:noProof/>
      </w:rPr>
      <w:t>1</w:t>
    </w:r>
    <w:r w:rsidR="00DF6B80">
      <w:rPr>
        <w:noProof/>
      </w:rPr>
      <w:fldChar w:fldCharType="end"/>
    </w:r>
    <w:r>
      <w:ptab w:relativeTo="margin" w:alignment="right" w:leader="none"/>
    </w:r>
    <w:r>
      <w:t xml:space="preserve"> </w:t>
    </w:r>
    <w:r w:rsidR="00F14621">
      <w:t>1</w:t>
    </w:r>
    <w:r w:rsidR="00ED752B">
      <w:t>st</w:t>
    </w:r>
    <w:r w:rsidR="00E93F1E">
      <w:t xml:space="preserve"> </w:t>
    </w:r>
    <w:r w:rsidR="006C367F">
      <w:t>March</w:t>
    </w:r>
    <w:r w:rsidR="00E93F1E">
      <w:t xml:space="preserve"> 201</w:t>
    </w:r>
    <w:r w:rsidR="006C367F">
      <w:t>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4C57"/>
    <w:rsid w:val="000055E3"/>
    <w:rsid w:val="00011601"/>
    <w:rsid w:val="000624C6"/>
    <w:rsid w:val="00077770"/>
    <w:rsid w:val="00094242"/>
    <w:rsid w:val="000A6A9B"/>
    <w:rsid w:val="000C7559"/>
    <w:rsid w:val="000C7A4B"/>
    <w:rsid w:val="000F3788"/>
    <w:rsid w:val="000F545F"/>
    <w:rsid w:val="00115F74"/>
    <w:rsid w:val="00141331"/>
    <w:rsid w:val="00141FA4"/>
    <w:rsid w:val="00152D60"/>
    <w:rsid w:val="0015704B"/>
    <w:rsid w:val="00191548"/>
    <w:rsid w:val="00195B91"/>
    <w:rsid w:val="00197D19"/>
    <w:rsid w:val="001C6877"/>
    <w:rsid w:val="001D480A"/>
    <w:rsid w:val="001E0A6C"/>
    <w:rsid w:val="001E1989"/>
    <w:rsid w:val="001F2E67"/>
    <w:rsid w:val="00205F85"/>
    <w:rsid w:val="002102A4"/>
    <w:rsid w:val="002410BD"/>
    <w:rsid w:val="00245F5F"/>
    <w:rsid w:val="00271ADA"/>
    <w:rsid w:val="00273A84"/>
    <w:rsid w:val="002F4C57"/>
    <w:rsid w:val="002F5FC2"/>
    <w:rsid w:val="003203CB"/>
    <w:rsid w:val="003224E2"/>
    <w:rsid w:val="003252E6"/>
    <w:rsid w:val="00340346"/>
    <w:rsid w:val="00380D4A"/>
    <w:rsid w:val="00393629"/>
    <w:rsid w:val="003B009D"/>
    <w:rsid w:val="003D7CE1"/>
    <w:rsid w:val="004059A0"/>
    <w:rsid w:val="004238CC"/>
    <w:rsid w:val="004344C5"/>
    <w:rsid w:val="00457BBC"/>
    <w:rsid w:val="004874A0"/>
    <w:rsid w:val="0048795D"/>
    <w:rsid w:val="00497EC4"/>
    <w:rsid w:val="004A200B"/>
    <w:rsid w:val="004D0AA6"/>
    <w:rsid w:val="004D3C4D"/>
    <w:rsid w:val="004D58C4"/>
    <w:rsid w:val="00506CC0"/>
    <w:rsid w:val="0051145D"/>
    <w:rsid w:val="00517584"/>
    <w:rsid w:val="00564CBD"/>
    <w:rsid w:val="005727DF"/>
    <w:rsid w:val="00590383"/>
    <w:rsid w:val="0059736F"/>
    <w:rsid w:val="00597772"/>
    <w:rsid w:val="00597AA4"/>
    <w:rsid w:val="005A01A8"/>
    <w:rsid w:val="005A584A"/>
    <w:rsid w:val="005B6E0D"/>
    <w:rsid w:val="005B72E0"/>
    <w:rsid w:val="005C52E0"/>
    <w:rsid w:val="005D2FBC"/>
    <w:rsid w:val="00615765"/>
    <w:rsid w:val="00630A30"/>
    <w:rsid w:val="00660D78"/>
    <w:rsid w:val="006649FE"/>
    <w:rsid w:val="00680722"/>
    <w:rsid w:val="00680879"/>
    <w:rsid w:val="00696949"/>
    <w:rsid w:val="006A03CD"/>
    <w:rsid w:val="006B35E8"/>
    <w:rsid w:val="006B4F1B"/>
    <w:rsid w:val="006C367F"/>
    <w:rsid w:val="006D3D10"/>
    <w:rsid w:val="00707732"/>
    <w:rsid w:val="007135C4"/>
    <w:rsid w:val="00720C92"/>
    <w:rsid w:val="00752984"/>
    <w:rsid w:val="0076145D"/>
    <w:rsid w:val="00783043"/>
    <w:rsid w:val="00791D95"/>
    <w:rsid w:val="00795548"/>
    <w:rsid w:val="007D6554"/>
    <w:rsid w:val="007D66F2"/>
    <w:rsid w:val="007F1F4C"/>
    <w:rsid w:val="00837C9A"/>
    <w:rsid w:val="00843855"/>
    <w:rsid w:val="0086504E"/>
    <w:rsid w:val="00892D61"/>
    <w:rsid w:val="008D5027"/>
    <w:rsid w:val="008F59EA"/>
    <w:rsid w:val="00923CDC"/>
    <w:rsid w:val="00967196"/>
    <w:rsid w:val="00972EE2"/>
    <w:rsid w:val="009A1B13"/>
    <w:rsid w:val="00A07910"/>
    <w:rsid w:val="00A339A6"/>
    <w:rsid w:val="00A4238C"/>
    <w:rsid w:val="00A72025"/>
    <w:rsid w:val="00A73BDA"/>
    <w:rsid w:val="00A90493"/>
    <w:rsid w:val="00A9291A"/>
    <w:rsid w:val="00AA4926"/>
    <w:rsid w:val="00AA5D01"/>
    <w:rsid w:val="00AC6849"/>
    <w:rsid w:val="00AC75AD"/>
    <w:rsid w:val="00AD244E"/>
    <w:rsid w:val="00AE4EBD"/>
    <w:rsid w:val="00B04AD9"/>
    <w:rsid w:val="00B13ED3"/>
    <w:rsid w:val="00B2284D"/>
    <w:rsid w:val="00B36CC9"/>
    <w:rsid w:val="00B54068"/>
    <w:rsid w:val="00B605D6"/>
    <w:rsid w:val="00B61650"/>
    <w:rsid w:val="00B627A9"/>
    <w:rsid w:val="00B71074"/>
    <w:rsid w:val="00B82C5C"/>
    <w:rsid w:val="00BA35C1"/>
    <w:rsid w:val="00BC0C26"/>
    <w:rsid w:val="00BD5149"/>
    <w:rsid w:val="00BE2F71"/>
    <w:rsid w:val="00BE3DB0"/>
    <w:rsid w:val="00C3086C"/>
    <w:rsid w:val="00C513D2"/>
    <w:rsid w:val="00C51B8D"/>
    <w:rsid w:val="00CA604E"/>
    <w:rsid w:val="00CC0A76"/>
    <w:rsid w:val="00CE7E42"/>
    <w:rsid w:val="00CF05A4"/>
    <w:rsid w:val="00D049C1"/>
    <w:rsid w:val="00D16587"/>
    <w:rsid w:val="00D2371C"/>
    <w:rsid w:val="00D25311"/>
    <w:rsid w:val="00D27C52"/>
    <w:rsid w:val="00D41AAC"/>
    <w:rsid w:val="00D42981"/>
    <w:rsid w:val="00D5052F"/>
    <w:rsid w:val="00D553DD"/>
    <w:rsid w:val="00D62E5A"/>
    <w:rsid w:val="00D660D0"/>
    <w:rsid w:val="00D678C7"/>
    <w:rsid w:val="00D81BF6"/>
    <w:rsid w:val="00DA6438"/>
    <w:rsid w:val="00DB193B"/>
    <w:rsid w:val="00DB7680"/>
    <w:rsid w:val="00DD00F7"/>
    <w:rsid w:val="00DF4E82"/>
    <w:rsid w:val="00DF6B80"/>
    <w:rsid w:val="00DF74B8"/>
    <w:rsid w:val="00E06F51"/>
    <w:rsid w:val="00E07F99"/>
    <w:rsid w:val="00E30BCB"/>
    <w:rsid w:val="00E477B8"/>
    <w:rsid w:val="00E643C6"/>
    <w:rsid w:val="00E70B9E"/>
    <w:rsid w:val="00E93F1E"/>
    <w:rsid w:val="00E965F9"/>
    <w:rsid w:val="00EA45D7"/>
    <w:rsid w:val="00EA67D9"/>
    <w:rsid w:val="00EB044C"/>
    <w:rsid w:val="00EB1E9E"/>
    <w:rsid w:val="00EC0414"/>
    <w:rsid w:val="00EC4104"/>
    <w:rsid w:val="00ED21D2"/>
    <w:rsid w:val="00ED752B"/>
    <w:rsid w:val="00F14621"/>
    <w:rsid w:val="00F335AB"/>
    <w:rsid w:val="00F34D7B"/>
    <w:rsid w:val="00F42475"/>
    <w:rsid w:val="00F43C70"/>
    <w:rsid w:val="00F46AD1"/>
    <w:rsid w:val="00F5498B"/>
    <w:rsid w:val="00F634C5"/>
    <w:rsid w:val="00F8455E"/>
    <w:rsid w:val="00FA5ABF"/>
    <w:rsid w:val="00FB67AC"/>
    <w:rsid w:val="00FE08D7"/>
    <w:rsid w:val="00FF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BAFA05"/>
  <w15:docId w15:val="{BF092DCA-8BC5-CE40-A9D2-E9C246D38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6F51"/>
    <w:pPr>
      <w:spacing w:after="200" w:line="276" w:lineRule="auto"/>
    </w:pPr>
    <w:rPr>
      <w:lang w:val="en-GB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273A84"/>
    <w:pPr>
      <w:spacing w:before="100" w:beforeAutospacing="1" w:after="100" w:afterAutospacing="1" w:line="240" w:lineRule="auto"/>
      <w:outlineLvl w:val="0"/>
    </w:pPr>
    <w:rPr>
      <w:rFonts w:ascii="Times New Roman" w:eastAsiaTheme="minorHAnsi" w:hAnsi="Times New Roman"/>
      <w:b/>
      <w:bCs/>
      <w:kern w:val="36"/>
      <w:sz w:val="48"/>
      <w:szCs w:val="48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B7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025"/>
    <w:rPr>
      <w:rFonts w:ascii="Times New Roman" w:hAnsi="Times New Roman"/>
      <w:sz w:val="0"/>
      <w:szCs w:val="0"/>
      <w:lang w:val="en-GB" w:eastAsia="en-US"/>
    </w:rPr>
  </w:style>
  <w:style w:type="table" w:styleId="TableGrid">
    <w:name w:val="Table Grid"/>
    <w:basedOn w:val="TableNormal"/>
    <w:locked/>
    <w:rsid w:val="000055E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13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ED3"/>
    <w:rPr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B13E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ED3"/>
    <w:rPr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0624C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24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73A84"/>
    <w:rPr>
      <w:rFonts w:ascii="Times New Roman" w:eastAsiaTheme="minorHAnsi" w:hAnsi="Times New Roman"/>
      <w:b/>
      <w:bCs/>
      <w:kern w:val="36"/>
      <w:sz w:val="48"/>
      <w:szCs w:val="48"/>
      <w:lang w:val="hu-HU" w:eastAsia="hu-HU"/>
    </w:rPr>
  </w:style>
  <w:style w:type="character" w:styleId="HTMLCode">
    <w:name w:val="HTML Code"/>
    <w:basedOn w:val="DefaultParagraphFont"/>
    <w:uiPriority w:val="99"/>
    <w:semiHidden/>
    <w:unhideWhenUsed/>
    <w:rsid w:val="00273A84"/>
    <w:rPr>
      <w:rFonts w:ascii="Courier New" w:eastAsiaTheme="minorHAnsi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73A84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locked/>
    <w:rsid w:val="00273A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11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2A88E-9031-844D-9EE0-77573416C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Myzus persicae Aphid Resistance Alert</vt:lpstr>
    </vt:vector>
  </TitlesOfParts>
  <Company>Syngenta</Company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Myzus persicae Aphid Resistance Alert</dc:title>
  <dc:creator>slateru1</dc:creator>
  <cp:lastModifiedBy>Alan Porter</cp:lastModifiedBy>
  <cp:revision>3</cp:revision>
  <cp:lastPrinted>2019-03-14T17:43:00Z</cp:lastPrinted>
  <dcterms:created xsi:type="dcterms:W3CDTF">2019-04-30T08:40:00Z</dcterms:created>
  <dcterms:modified xsi:type="dcterms:W3CDTF">2019-05-03T15:45:00Z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_Steward">
    <vt:lpwstr>Mezei I u360372</vt:lpwstr>
  </property>
  <property fmtid="{D5CDD505-2E9C-101B-9397-08002B2CF9AE}" pid="3" name="Update_Footer">
    <vt:lpwstr>No</vt:lpwstr>
  </property>
  <property fmtid="{D5CDD505-2E9C-101B-9397-08002B2CF9AE}" pid="4" name="Radio_Button">
    <vt:lpwstr>RadioButton2</vt:lpwstr>
  </property>
  <property fmtid="{D5CDD505-2E9C-101B-9397-08002B2CF9AE}" pid="5" name="Information_Classification">
    <vt:lpwstr/>
  </property>
  <property fmtid="{D5CDD505-2E9C-101B-9397-08002B2CF9AE}" pid="6" name="Record_Title_ID">
    <vt:lpwstr>72</vt:lpwstr>
  </property>
  <property fmtid="{D5CDD505-2E9C-101B-9397-08002B2CF9AE}" pid="7" name="Initial_Creation_Date">
    <vt:filetime>2013-12-18T11:37:59Z</vt:filetime>
  </property>
  <property fmtid="{D5CDD505-2E9C-101B-9397-08002B2CF9AE}" pid="8" name="Retention_Period_Start_Date">
    <vt:filetime>2019-04-15T09:21:39Z</vt:filetime>
  </property>
  <property fmtid="{D5CDD505-2E9C-101B-9397-08002B2CF9AE}" pid="9" name="Last_Reviewed_Date">
    <vt:lpwstr/>
  </property>
  <property fmtid="{D5CDD505-2E9C-101B-9397-08002B2CF9AE}" pid="10" name="Retention_Review_Frequency">
    <vt:lpwstr/>
  </property>
  <property fmtid="{D5CDD505-2E9C-101B-9397-08002B2CF9AE}" pid="11" name="_NewReviewCycle">
    <vt:lpwstr/>
  </property>
</Properties>
</file>